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EF" w:rsidRDefault="002615EF" w:rsidP="005C3090">
      <w:pPr>
        <w:ind w:right="-7"/>
        <w:jc w:val="center"/>
        <w:rPr>
          <w:rFonts w:ascii="Times New Roman" w:hAnsi="Times New Roman"/>
          <w:b/>
          <w:w w:val="115"/>
          <w:sz w:val="28"/>
          <w:szCs w:val="28"/>
          <w:highlight w:val="yellow"/>
          <w:u w:val="single"/>
        </w:rPr>
      </w:pPr>
      <w:r w:rsidRPr="006E7D5B">
        <w:rPr>
          <w:noProof/>
          <w:lang w:eastAsia="en-IE"/>
        </w:rPr>
        <w:drawing>
          <wp:inline distT="0" distB="0" distL="0" distR="0">
            <wp:extent cx="2084705" cy="609600"/>
            <wp:effectExtent l="0" t="0" r="0" b="0"/>
            <wp:docPr id="1" name="Picture 1" descr="LCETB_Corp_ID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ETB_Corp_ID_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92" cy="6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90" w:rsidRPr="00797B85" w:rsidRDefault="00484EBC" w:rsidP="005C3090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School </w:t>
      </w:r>
      <w:r w:rsidR="005C3090" w:rsidRPr="00797B85">
        <w:rPr>
          <w:rFonts w:asciiTheme="minorHAnsi" w:hAnsiTheme="minorHAnsi" w:cstheme="minorHAnsi"/>
          <w:b/>
          <w:sz w:val="32"/>
          <w:szCs w:val="32"/>
        </w:rPr>
        <w:t xml:space="preserve">Supervisors (Temporary) </w:t>
      </w:r>
    </w:p>
    <w:p w:rsidR="005C3090" w:rsidRPr="000D1213" w:rsidRDefault="005C3090" w:rsidP="000D1213">
      <w:pPr>
        <w:pStyle w:val="Default"/>
        <w:rPr>
          <w:sz w:val="16"/>
          <w:szCs w:val="16"/>
        </w:rPr>
      </w:pPr>
    </w:p>
    <w:p w:rsidR="00B90EB2" w:rsidRPr="00797B85" w:rsidRDefault="00622424" w:rsidP="00B90EB2">
      <w:pPr>
        <w:spacing w:before="11"/>
        <w:ind w:right="-7"/>
        <w:jc w:val="both"/>
        <w:rPr>
          <w:rFonts w:cstheme="minorHAnsi"/>
          <w:sz w:val="24"/>
          <w:szCs w:val="24"/>
        </w:rPr>
      </w:pPr>
      <w:r w:rsidRPr="00622424">
        <w:rPr>
          <w:rFonts w:eastAsia="Times New Roman" w:cstheme="minorHAnsi"/>
          <w:bCs/>
          <w:sz w:val="24"/>
          <w:szCs w:val="24"/>
        </w:rPr>
        <w:t>Scariff Community College</w:t>
      </w:r>
      <w:r w:rsidR="005C3090" w:rsidRPr="00797B8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C3090" w:rsidRPr="00797B85">
        <w:rPr>
          <w:rFonts w:eastAsia="Times New Roman" w:cstheme="minorHAnsi"/>
          <w:bCs/>
          <w:sz w:val="24"/>
          <w:szCs w:val="24"/>
        </w:rPr>
        <w:t xml:space="preserve">invites </w:t>
      </w:r>
      <w:r w:rsidR="005C3090" w:rsidRPr="00797B85">
        <w:rPr>
          <w:rFonts w:cstheme="minorHAnsi"/>
          <w:sz w:val="24"/>
          <w:szCs w:val="24"/>
        </w:rPr>
        <w:t xml:space="preserve">applications </w:t>
      </w:r>
      <w:r w:rsidR="004E642F" w:rsidRPr="00797B85">
        <w:rPr>
          <w:rFonts w:cstheme="minorHAnsi"/>
          <w:sz w:val="24"/>
          <w:szCs w:val="24"/>
        </w:rPr>
        <w:t>for inclusion on a P</w:t>
      </w:r>
      <w:r w:rsidR="005C3090" w:rsidRPr="00797B85">
        <w:rPr>
          <w:rFonts w:cstheme="minorHAnsi"/>
          <w:sz w:val="24"/>
          <w:szCs w:val="24"/>
        </w:rPr>
        <w:t xml:space="preserve">anel of </w:t>
      </w:r>
      <w:r w:rsidR="004E642F" w:rsidRPr="00797B85">
        <w:rPr>
          <w:rFonts w:cstheme="minorHAnsi"/>
          <w:sz w:val="24"/>
          <w:szCs w:val="24"/>
        </w:rPr>
        <w:t>T</w:t>
      </w:r>
      <w:r w:rsidR="00436042">
        <w:rPr>
          <w:rFonts w:cstheme="minorHAnsi"/>
          <w:sz w:val="24"/>
          <w:szCs w:val="24"/>
        </w:rPr>
        <w:t xml:space="preserve">emporary Supervisors </w:t>
      </w:r>
      <w:r w:rsidR="005C3090" w:rsidRPr="00797B85">
        <w:rPr>
          <w:rFonts w:cstheme="minorHAnsi"/>
          <w:sz w:val="24"/>
          <w:szCs w:val="24"/>
        </w:rPr>
        <w:t>to supervise pupils on the school premises.</w:t>
      </w:r>
      <w:r w:rsidR="00B90EB2" w:rsidRPr="00797B85">
        <w:rPr>
          <w:rFonts w:cstheme="minorHAnsi"/>
          <w:sz w:val="24"/>
          <w:szCs w:val="24"/>
        </w:rPr>
        <w:t xml:space="preserve">  </w:t>
      </w:r>
    </w:p>
    <w:p w:rsidR="00797B85" w:rsidRPr="00797B85" w:rsidRDefault="00797B85" w:rsidP="00797B85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  <w:r w:rsidRPr="00797B85">
        <w:rPr>
          <w:rFonts w:asciiTheme="minorHAnsi" w:hAnsiTheme="minorHAnsi" w:cstheme="minorBidi"/>
          <w:color w:val="auto"/>
        </w:rPr>
        <w:t xml:space="preserve">In order to facilitate maximum social distancing, it is envisaged that schools will require increased supervision throughout the day in the following areas: </w:t>
      </w:r>
    </w:p>
    <w:p w:rsidR="00797B85" w:rsidRPr="00797B85" w:rsidRDefault="00797B85" w:rsidP="00797B85">
      <w:pPr>
        <w:pStyle w:val="Default"/>
        <w:numPr>
          <w:ilvl w:val="0"/>
          <w:numId w:val="9"/>
        </w:numPr>
        <w:spacing w:after="29" w:line="276" w:lineRule="auto"/>
        <w:rPr>
          <w:rFonts w:asciiTheme="minorHAnsi" w:hAnsiTheme="minorHAnsi" w:cstheme="minorBidi"/>
          <w:color w:val="auto"/>
        </w:rPr>
      </w:pPr>
      <w:r w:rsidRPr="00797B85">
        <w:rPr>
          <w:rFonts w:asciiTheme="minorHAnsi" w:hAnsiTheme="minorHAnsi" w:cstheme="minorBidi"/>
          <w:color w:val="auto"/>
        </w:rPr>
        <w:t xml:space="preserve">increased supervision of students before and after school, at break times and at lunchtimes to encourage good behaviour and social distancing; </w:t>
      </w:r>
    </w:p>
    <w:p w:rsidR="00797B85" w:rsidRPr="00797B85" w:rsidRDefault="00797B85" w:rsidP="00797B85">
      <w:pPr>
        <w:pStyle w:val="Default"/>
        <w:numPr>
          <w:ilvl w:val="0"/>
          <w:numId w:val="9"/>
        </w:numPr>
        <w:spacing w:after="29" w:line="276" w:lineRule="auto"/>
        <w:rPr>
          <w:rFonts w:asciiTheme="minorHAnsi" w:hAnsiTheme="minorHAnsi" w:cstheme="minorBidi"/>
          <w:color w:val="auto"/>
        </w:rPr>
      </w:pPr>
      <w:r w:rsidRPr="00797B85">
        <w:rPr>
          <w:rFonts w:asciiTheme="minorHAnsi" w:hAnsiTheme="minorHAnsi" w:cstheme="minorBidi"/>
          <w:color w:val="auto"/>
        </w:rPr>
        <w:t xml:space="preserve">supervising hand hygiene measures needed to be undertaken by students to prevent the spread of COVID-19; </w:t>
      </w:r>
    </w:p>
    <w:p w:rsidR="00797B85" w:rsidRPr="00797B85" w:rsidRDefault="00797B85" w:rsidP="00797B85">
      <w:pPr>
        <w:pStyle w:val="Default"/>
        <w:numPr>
          <w:ilvl w:val="0"/>
          <w:numId w:val="9"/>
        </w:numPr>
        <w:spacing w:after="29" w:line="276" w:lineRule="auto"/>
        <w:rPr>
          <w:rFonts w:asciiTheme="minorHAnsi" w:hAnsiTheme="minorHAnsi" w:cstheme="minorBidi"/>
          <w:color w:val="auto"/>
        </w:rPr>
      </w:pPr>
      <w:r w:rsidRPr="00797B85">
        <w:rPr>
          <w:rFonts w:asciiTheme="minorHAnsi" w:hAnsiTheme="minorHAnsi" w:cstheme="minorBidi"/>
          <w:color w:val="auto"/>
        </w:rPr>
        <w:t xml:space="preserve">at more entry and exit points than are currently used in order to minimise contact; </w:t>
      </w:r>
    </w:p>
    <w:p w:rsidR="00797B85" w:rsidRPr="00797B85" w:rsidRDefault="00797B85" w:rsidP="00797B85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Bidi"/>
          <w:color w:val="auto"/>
        </w:rPr>
      </w:pPr>
      <w:proofErr w:type="gramStart"/>
      <w:r w:rsidRPr="00797B85">
        <w:rPr>
          <w:rFonts w:asciiTheme="minorHAnsi" w:hAnsiTheme="minorHAnsi" w:cstheme="minorBidi"/>
          <w:color w:val="auto"/>
        </w:rPr>
        <w:t>supervision</w:t>
      </w:r>
      <w:proofErr w:type="gramEnd"/>
      <w:r w:rsidRPr="00797B85">
        <w:rPr>
          <w:rFonts w:asciiTheme="minorHAnsi" w:hAnsiTheme="minorHAnsi" w:cstheme="minorBidi"/>
          <w:color w:val="auto"/>
        </w:rPr>
        <w:t xml:space="preserve"> at lockers and bathroom areas. </w:t>
      </w:r>
    </w:p>
    <w:p w:rsidR="00797B85" w:rsidRPr="00BE74BF" w:rsidRDefault="00797B85" w:rsidP="00797B8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7B85" w:rsidRPr="00797B85" w:rsidRDefault="00797B85" w:rsidP="00797B85">
      <w:pPr>
        <w:spacing w:before="11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797B85">
        <w:rPr>
          <w:sz w:val="24"/>
          <w:szCs w:val="24"/>
        </w:rPr>
        <w:t>The above is not an exhaustive list and additional supervision may be required in other areas depending on the needs of the school.</w:t>
      </w:r>
    </w:p>
    <w:p w:rsidR="002615EF" w:rsidRPr="00797B85" w:rsidRDefault="00B90EB2" w:rsidP="00B90EB2">
      <w:pPr>
        <w:spacing w:before="11"/>
        <w:ind w:right="-7"/>
        <w:jc w:val="both"/>
        <w:rPr>
          <w:sz w:val="24"/>
          <w:szCs w:val="24"/>
        </w:rPr>
      </w:pPr>
      <w:r w:rsidRPr="00797B85">
        <w:rPr>
          <w:sz w:val="24"/>
          <w:szCs w:val="24"/>
        </w:rPr>
        <w:t>The hourly rates</w:t>
      </w:r>
      <w:r w:rsidR="004E642F" w:rsidRPr="00797B85">
        <w:rPr>
          <w:sz w:val="24"/>
          <w:szCs w:val="24"/>
        </w:rPr>
        <w:t xml:space="preserve"> payable to individual </w:t>
      </w:r>
      <w:r w:rsidRPr="00797B85">
        <w:rPr>
          <w:sz w:val="24"/>
          <w:szCs w:val="24"/>
        </w:rPr>
        <w:t>supervisors for supervision work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160"/>
        <w:gridCol w:w="3351"/>
      </w:tblGrid>
      <w:tr w:rsidR="00B44587" w:rsidTr="00B44587">
        <w:tc>
          <w:tcPr>
            <w:tcW w:w="3505" w:type="dxa"/>
            <w:shd w:val="clear" w:color="auto" w:fill="EAF1DD" w:themeFill="accent3" w:themeFillTint="33"/>
          </w:tcPr>
          <w:p w:rsidR="00B44587" w:rsidRPr="000D1213" w:rsidRDefault="00B40623" w:rsidP="00411309">
            <w:pPr>
              <w:spacing w:before="11"/>
              <w:ind w:right="-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REGISTERED</w:t>
            </w:r>
            <w:r w:rsidR="00AE1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4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B44587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Hourly</w:t>
            </w:r>
            <w:r w:rsidRPr="00B90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3351" w:type="dxa"/>
            <w:shd w:val="clear" w:color="auto" w:fill="EAF1DD" w:themeFill="accent3" w:themeFillTint="33"/>
          </w:tcPr>
          <w:p w:rsidR="00B44587" w:rsidRPr="00B44587" w:rsidRDefault="00B40623" w:rsidP="00B40623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Compensation for Holiday pay</w:t>
            </w:r>
            <w:r w:rsidR="00B445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B44587" w:rsidTr="00B44587">
        <w:tc>
          <w:tcPr>
            <w:tcW w:w="3505" w:type="dxa"/>
          </w:tcPr>
          <w:p w:rsidR="00B44587" w:rsidRDefault="00B44587" w:rsidP="00874F57">
            <w:pPr>
              <w:spacing w:before="11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</w:t>
            </w:r>
            <w:r w:rsidR="00AE1C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0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January 2011 Entrant to Employment</w:t>
            </w:r>
          </w:p>
        </w:tc>
        <w:tc>
          <w:tcPr>
            <w:tcW w:w="2160" w:type="dxa"/>
          </w:tcPr>
          <w:p w:rsidR="00B44587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3351" w:type="dxa"/>
          </w:tcPr>
          <w:p w:rsidR="00B44587" w:rsidRPr="00B90EB2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€5.74</w:t>
            </w:r>
          </w:p>
        </w:tc>
      </w:tr>
      <w:tr w:rsidR="00B44587" w:rsidTr="00B44587">
        <w:tc>
          <w:tcPr>
            <w:tcW w:w="3505" w:type="dxa"/>
          </w:tcPr>
          <w:p w:rsidR="00B44587" w:rsidRDefault="00B44587" w:rsidP="00874F57">
            <w:pPr>
              <w:spacing w:before="11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</w:t>
            </w:r>
            <w:r w:rsidR="00AE1C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0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January 2011 Entrant to Employment</w:t>
            </w:r>
          </w:p>
        </w:tc>
        <w:tc>
          <w:tcPr>
            <w:tcW w:w="2160" w:type="dxa"/>
          </w:tcPr>
          <w:p w:rsidR="00B44587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37.88</w:t>
            </w:r>
          </w:p>
        </w:tc>
        <w:tc>
          <w:tcPr>
            <w:tcW w:w="3351" w:type="dxa"/>
          </w:tcPr>
          <w:p w:rsidR="00B44587" w:rsidRPr="00B90EB2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€5.16</w:t>
            </w:r>
          </w:p>
        </w:tc>
      </w:tr>
    </w:tbl>
    <w:p w:rsidR="000E2284" w:rsidRPr="000D1213" w:rsidRDefault="000E2284" w:rsidP="000D1213">
      <w:pPr>
        <w:spacing w:before="11" w:line="240" w:lineRule="auto"/>
        <w:ind w:right="-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2097"/>
        <w:gridCol w:w="3351"/>
      </w:tblGrid>
      <w:tr w:rsidR="00B44587" w:rsidTr="00B44587">
        <w:tc>
          <w:tcPr>
            <w:tcW w:w="3568" w:type="dxa"/>
            <w:shd w:val="clear" w:color="auto" w:fill="EAF1DD" w:themeFill="accent3" w:themeFillTint="33"/>
          </w:tcPr>
          <w:p w:rsidR="00B44587" w:rsidRPr="000D1213" w:rsidRDefault="00B44587" w:rsidP="00B90EB2">
            <w:pPr>
              <w:spacing w:before="11"/>
              <w:ind w:right="-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B44587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Hourly</w:t>
            </w:r>
            <w:r w:rsidRPr="00B90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3351" w:type="dxa"/>
            <w:shd w:val="clear" w:color="auto" w:fill="EAF1DD" w:themeFill="accent3" w:themeFillTint="33"/>
          </w:tcPr>
          <w:p w:rsidR="00B44587" w:rsidRDefault="00B40623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Compensation for Holiday pay *</w:t>
            </w:r>
          </w:p>
        </w:tc>
      </w:tr>
      <w:tr w:rsidR="00B44587" w:rsidTr="00B44587">
        <w:tc>
          <w:tcPr>
            <w:tcW w:w="3568" w:type="dxa"/>
          </w:tcPr>
          <w:p w:rsidR="00B44587" w:rsidRDefault="00B44587" w:rsidP="00874F57">
            <w:pPr>
              <w:spacing w:before="11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Pre-1 January 2011 Entrant to Employment</w:t>
            </w:r>
          </w:p>
        </w:tc>
        <w:tc>
          <w:tcPr>
            <w:tcW w:w="2097" w:type="dxa"/>
          </w:tcPr>
          <w:p w:rsidR="00B44587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€18.75</w:t>
            </w:r>
          </w:p>
        </w:tc>
        <w:tc>
          <w:tcPr>
            <w:tcW w:w="3351" w:type="dxa"/>
          </w:tcPr>
          <w:p w:rsidR="00B44587" w:rsidRPr="00B90EB2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€2.56</w:t>
            </w:r>
          </w:p>
        </w:tc>
      </w:tr>
      <w:tr w:rsidR="00B44587" w:rsidTr="00B44587">
        <w:tc>
          <w:tcPr>
            <w:tcW w:w="3568" w:type="dxa"/>
          </w:tcPr>
          <w:p w:rsidR="00B44587" w:rsidRDefault="00B44587" w:rsidP="00874F57">
            <w:pPr>
              <w:spacing w:before="11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Post-1 January 2011 Entrant to Employment</w:t>
            </w:r>
          </w:p>
        </w:tc>
        <w:tc>
          <w:tcPr>
            <w:tcW w:w="2097" w:type="dxa"/>
          </w:tcPr>
          <w:p w:rsidR="00B44587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€16.88</w:t>
            </w:r>
          </w:p>
        </w:tc>
        <w:tc>
          <w:tcPr>
            <w:tcW w:w="3351" w:type="dxa"/>
          </w:tcPr>
          <w:p w:rsidR="00B44587" w:rsidRPr="00B90EB2" w:rsidRDefault="00B44587" w:rsidP="00B44587">
            <w:pPr>
              <w:spacing w:before="11"/>
              <w:ind w:right="-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€2.30</w:t>
            </w:r>
          </w:p>
        </w:tc>
      </w:tr>
    </w:tbl>
    <w:p w:rsidR="00B90EB2" w:rsidRDefault="00B40623" w:rsidP="00B406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</w:rPr>
        <w:t xml:space="preserve">* </w:t>
      </w:r>
      <w:r w:rsidR="00436042" w:rsidRPr="00B44587">
        <w:rPr>
          <w:rFonts w:cstheme="minorHAnsi"/>
          <w:b/>
          <w:i/>
          <w:color w:val="000000"/>
        </w:rPr>
        <w:t xml:space="preserve">Holiday pay will be paid 3 times throughout the year (January, Easter and </w:t>
      </w:r>
      <w:proofErr w:type="gramStart"/>
      <w:r w:rsidR="00436042" w:rsidRPr="00B44587">
        <w:rPr>
          <w:rFonts w:cstheme="minorHAnsi"/>
          <w:b/>
          <w:i/>
          <w:color w:val="000000"/>
        </w:rPr>
        <w:t>Summer</w:t>
      </w:r>
      <w:proofErr w:type="gramEnd"/>
      <w:r w:rsidR="00436042" w:rsidRPr="00B44587">
        <w:rPr>
          <w:rFonts w:cstheme="minorHAnsi"/>
          <w:b/>
          <w:i/>
          <w:color w:val="000000"/>
        </w:rPr>
        <w:t>)</w:t>
      </w:r>
    </w:p>
    <w:p w:rsidR="00B40623" w:rsidRPr="00B40623" w:rsidRDefault="00B40623" w:rsidP="00B406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16"/>
          <w:szCs w:val="16"/>
        </w:rPr>
      </w:pPr>
    </w:p>
    <w:p w:rsidR="00436042" w:rsidRPr="00797B85" w:rsidRDefault="00436042" w:rsidP="00B40623">
      <w:pPr>
        <w:spacing w:before="11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97B85">
        <w:rPr>
          <w:sz w:val="24"/>
          <w:szCs w:val="24"/>
        </w:rPr>
        <w:t xml:space="preserve">ppointment will be subject to </w:t>
      </w:r>
      <w:r>
        <w:rPr>
          <w:sz w:val="24"/>
          <w:szCs w:val="24"/>
        </w:rPr>
        <w:t>satisfactory Garda V</w:t>
      </w:r>
      <w:r w:rsidRPr="00797B85">
        <w:rPr>
          <w:sz w:val="24"/>
          <w:szCs w:val="24"/>
        </w:rPr>
        <w:t>etting</w:t>
      </w:r>
      <w:r>
        <w:rPr>
          <w:sz w:val="24"/>
          <w:szCs w:val="24"/>
        </w:rPr>
        <w:t xml:space="preserve"> disclosure</w:t>
      </w:r>
      <w:r w:rsidRPr="00797B85">
        <w:rPr>
          <w:sz w:val="24"/>
          <w:szCs w:val="24"/>
        </w:rPr>
        <w:t xml:space="preserve"> by the National Vetting Bureau of An Garda Síochána</w:t>
      </w:r>
      <w:r w:rsidR="00484EBC">
        <w:rPr>
          <w:sz w:val="24"/>
          <w:szCs w:val="24"/>
        </w:rPr>
        <w:t>.</w:t>
      </w:r>
    </w:p>
    <w:p w:rsidR="00D942C9" w:rsidRPr="00B40623" w:rsidRDefault="005C3090" w:rsidP="00D942C9">
      <w:pPr>
        <w:spacing w:before="11" w:line="240" w:lineRule="auto"/>
        <w:ind w:right="-7"/>
        <w:jc w:val="both"/>
        <w:rPr>
          <w:b/>
          <w:sz w:val="24"/>
          <w:szCs w:val="24"/>
        </w:rPr>
      </w:pPr>
      <w:r w:rsidRPr="00D942C9">
        <w:rPr>
          <w:sz w:val="24"/>
          <w:szCs w:val="24"/>
        </w:rPr>
        <w:t>Please c</w:t>
      </w:r>
      <w:r w:rsidR="00B90EB2" w:rsidRPr="00D942C9">
        <w:rPr>
          <w:sz w:val="24"/>
          <w:szCs w:val="24"/>
        </w:rPr>
        <w:t xml:space="preserve">omplete </w:t>
      </w:r>
      <w:r w:rsidR="00B40623">
        <w:rPr>
          <w:sz w:val="24"/>
          <w:szCs w:val="24"/>
        </w:rPr>
        <w:t xml:space="preserve">the attached documents and return immediately to:  </w:t>
      </w:r>
      <w:r w:rsidR="00622424">
        <w:rPr>
          <w:sz w:val="24"/>
          <w:szCs w:val="24"/>
        </w:rPr>
        <w:t xml:space="preserve">Angela Murphy McNamara, Principal, </w:t>
      </w:r>
      <w:r w:rsidR="00622424" w:rsidRPr="00622424">
        <w:rPr>
          <w:rFonts w:eastAsia="Times New Roman" w:cstheme="minorHAnsi"/>
          <w:bCs/>
          <w:sz w:val="24"/>
          <w:szCs w:val="24"/>
        </w:rPr>
        <w:t xml:space="preserve">Scariff Community </w:t>
      </w:r>
      <w:r w:rsidR="00622424">
        <w:rPr>
          <w:rFonts w:eastAsia="Times New Roman" w:cstheme="minorHAnsi"/>
          <w:bCs/>
          <w:sz w:val="24"/>
          <w:szCs w:val="24"/>
        </w:rPr>
        <w:t>College, Scariff Co. Clare, V94 Y9W2</w:t>
      </w:r>
      <w:bookmarkStart w:id="0" w:name="_GoBack"/>
      <w:bookmarkEnd w:id="0"/>
    </w:p>
    <w:p w:rsidR="00B40623" w:rsidRDefault="00D942C9" w:rsidP="00D942C9">
      <w:pPr>
        <w:pStyle w:val="ListParagraph"/>
        <w:numPr>
          <w:ilvl w:val="0"/>
          <w:numId w:val="11"/>
        </w:numPr>
        <w:spacing w:before="11"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90EB2" w:rsidRPr="00D942C9">
        <w:rPr>
          <w:sz w:val="24"/>
          <w:szCs w:val="24"/>
        </w:rPr>
        <w:t>he A</w:t>
      </w:r>
      <w:r w:rsidR="004E642F" w:rsidRPr="00D942C9">
        <w:rPr>
          <w:sz w:val="24"/>
          <w:szCs w:val="24"/>
        </w:rPr>
        <w:t>pplication F</w:t>
      </w:r>
      <w:r w:rsidR="005C3090" w:rsidRPr="00D942C9">
        <w:rPr>
          <w:sz w:val="24"/>
          <w:szCs w:val="24"/>
        </w:rPr>
        <w:t>orm</w:t>
      </w:r>
      <w:r w:rsidR="00DC33E0">
        <w:rPr>
          <w:sz w:val="24"/>
          <w:szCs w:val="24"/>
        </w:rPr>
        <w:t xml:space="preserve"> </w:t>
      </w:r>
    </w:p>
    <w:p w:rsidR="00436042" w:rsidRPr="00D942C9" w:rsidRDefault="00B90EB2" w:rsidP="00D942C9">
      <w:pPr>
        <w:pStyle w:val="ListParagraph"/>
        <w:numPr>
          <w:ilvl w:val="0"/>
          <w:numId w:val="11"/>
        </w:numPr>
        <w:spacing w:before="11" w:line="240" w:lineRule="auto"/>
        <w:ind w:right="-7"/>
        <w:jc w:val="both"/>
        <w:rPr>
          <w:sz w:val="24"/>
          <w:szCs w:val="24"/>
        </w:rPr>
      </w:pPr>
      <w:r w:rsidRPr="00D942C9">
        <w:rPr>
          <w:sz w:val="24"/>
          <w:szCs w:val="24"/>
        </w:rPr>
        <w:t xml:space="preserve">Garda NVB 1 Form and </w:t>
      </w:r>
      <w:r w:rsidR="00B40623" w:rsidRPr="00B40623">
        <w:rPr>
          <w:b/>
          <w:sz w:val="24"/>
          <w:szCs w:val="24"/>
        </w:rPr>
        <w:t>copies</w:t>
      </w:r>
      <w:r w:rsidR="00B40623">
        <w:rPr>
          <w:sz w:val="24"/>
          <w:szCs w:val="24"/>
        </w:rPr>
        <w:t xml:space="preserve"> of</w:t>
      </w:r>
      <w:r w:rsidRPr="00D942C9">
        <w:rPr>
          <w:sz w:val="24"/>
          <w:szCs w:val="24"/>
        </w:rPr>
        <w:t xml:space="preserve"> Identification Documents (Guidelines on completing NVB1 form attached). </w:t>
      </w:r>
    </w:p>
    <w:p w:rsidR="00D942C9" w:rsidRDefault="002615EF" w:rsidP="00D942C9">
      <w:pPr>
        <w:pStyle w:val="ListParagraph"/>
        <w:numPr>
          <w:ilvl w:val="0"/>
          <w:numId w:val="10"/>
        </w:numPr>
        <w:spacing w:before="11" w:line="240" w:lineRule="auto"/>
        <w:ind w:right="-7"/>
        <w:jc w:val="both"/>
        <w:rPr>
          <w:sz w:val="24"/>
          <w:szCs w:val="24"/>
        </w:rPr>
      </w:pPr>
      <w:r w:rsidRPr="00D942C9">
        <w:rPr>
          <w:sz w:val="24"/>
          <w:szCs w:val="24"/>
        </w:rPr>
        <w:t xml:space="preserve">Statutory Declaration Form  </w:t>
      </w:r>
    </w:p>
    <w:p w:rsidR="00D942C9" w:rsidRPr="00D942C9" w:rsidRDefault="00B90EB2" w:rsidP="00D942C9">
      <w:pPr>
        <w:pStyle w:val="ListParagraph"/>
        <w:numPr>
          <w:ilvl w:val="0"/>
          <w:numId w:val="10"/>
        </w:numPr>
        <w:spacing w:before="11" w:line="240" w:lineRule="auto"/>
        <w:ind w:right="-7"/>
        <w:jc w:val="both"/>
        <w:rPr>
          <w:sz w:val="24"/>
          <w:szCs w:val="24"/>
        </w:rPr>
      </w:pPr>
      <w:r w:rsidRPr="00D942C9">
        <w:rPr>
          <w:sz w:val="24"/>
          <w:szCs w:val="24"/>
        </w:rPr>
        <w:t xml:space="preserve">Form of Undertaking </w:t>
      </w:r>
    </w:p>
    <w:p w:rsidR="005C3090" w:rsidRPr="007072E0" w:rsidRDefault="00797B85" w:rsidP="00B40623">
      <w:pPr>
        <w:rPr>
          <w:b/>
          <w:sz w:val="20"/>
          <w:szCs w:val="20"/>
        </w:rPr>
      </w:pPr>
      <w:r w:rsidRPr="007072E0">
        <w:rPr>
          <w:b/>
          <w:sz w:val="20"/>
          <w:szCs w:val="20"/>
        </w:rPr>
        <w:t>Placement on the panel is to fill vacancies that may</w:t>
      </w:r>
      <w:r w:rsidR="00436042" w:rsidRPr="007072E0">
        <w:rPr>
          <w:b/>
          <w:sz w:val="20"/>
          <w:szCs w:val="20"/>
        </w:rPr>
        <w:t>/may not</w:t>
      </w:r>
      <w:r w:rsidRPr="007072E0">
        <w:rPr>
          <w:b/>
          <w:sz w:val="20"/>
          <w:szCs w:val="20"/>
        </w:rPr>
        <w:t xml:space="preserve"> arise and does not guarantee a future offer of employment.</w:t>
      </w:r>
      <w:r w:rsidR="00B40623" w:rsidRPr="007072E0">
        <w:rPr>
          <w:b/>
          <w:sz w:val="20"/>
          <w:szCs w:val="20"/>
        </w:rPr>
        <w:t xml:space="preserve"> Your application will be retained on file for the school year 2020/2021.  The school will contact you if the need arises. </w:t>
      </w:r>
      <w:r w:rsidR="007072E0" w:rsidRPr="007072E0">
        <w:rPr>
          <w:b/>
          <w:sz w:val="20"/>
          <w:szCs w:val="20"/>
        </w:rPr>
        <w:t>Some but not necessarily all candidates may be contacted depending on the information contained on the application form.</w:t>
      </w:r>
      <w:r w:rsidR="00B40623" w:rsidRPr="007072E0">
        <w:rPr>
          <w:b/>
          <w:sz w:val="20"/>
          <w:szCs w:val="20"/>
        </w:rPr>
        <w:t xml:space="preserve">   </w:t>
      </w:r>
      <w:r w:rsidR="005C3090" w:rsidRPr="007072E0">
        <w:rPr>
          <w:b/>
          <w:sz w:val="20"/>
          <w:szCs w:val="20"/>
        </w:rPr>
        <w:t xml:space="preserve">Applications should be </w:t>
      </w:r>
      <w:r w:rsidR="00436042" w:rsidRPr="007072E0">
        <w:rPr>
          <w:b/>
          <w:sz w:val="20"/>
          <w:szCs w:val="20"/>
        </w:rPr>
        <w:t>submitted</w:t>
      </w:r>
      <w:r w:rsidR="005C3090" w:rsidRPr="007072E0">
        <w:rPr>
          <w:b/>
          <w:sz w:val="20"/>
          <w:szCs w:val="20"/>
        </w:rPr>
        <w:t xml:space="preserve"> immediately</w:t>
      </w:r>
      <w:r w:rsidR="00436042" w:rsidRPr="007072E0">
        <w:rPr>
          <w:b/>
          <w:sz w:val="20"/>
          <w:szCs w:val="20"/>
        </w:rPr>
        <w:t>.</w:t>
      </w:r>
      <w:r w:rsidR="005C3090" w:rsidRPr="007072E0">
        <w:rPr>
          <w:b/>
          <w:sz w:val="20"/>
          <w:szCs w:val="20"/>
        </w:rPr>
        <w:t xml:space="preserve"> </w:t>
      </w:r>
    </w:p>
    <w:sectPr w:rsidR="005C3090" w:rsidRPr="007072E0" w:rsidSect="00436042">
      <w:footerReference w:type="default" r:id="rId8"/>
      <w:pgSz w:w="11906" w:h="16838"/>
      <w:pgMar w:top="284" w:right="1440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47" w:rsidRDefault="001E5347">
      <w:pPr>
        <w:spacing w:after="0" w:line="240" w:lineRule="auto"/>
      </w:pPr>
      <w:r>
        <w:separator/>
      </w:r>
    </w:p>
  </w:endnote>
  <w:endnote w:type="continuationSeparator" w:id="0">
    <w:p w:rsidR="001E5347" w:rsidRDefault="001E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2C" w:rsidRDefault="0062242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47" w:rsidRDefault="001E5347">
      <w:pPr>
        <w:spacing w:after="0" w:line="240" w:lineRule="auto"/>
      </w:pPr>
      <w:r>
        <w:separator/>
      </w:r>
    </w:p>
  </w:footnote>
  <w:footnote w:type="continuationSeparator" w:id="0">
    <w:p w:rsidR="001E5347" w:rsidRDefault="001E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B82"/>
    <w:multiLevelType w:val="hybridMultilevel"/>
    <w:tmpl w:val="B448B4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194"/>
    <w:multiLevelType w:val="hybridMultilevel"/>
    <w:tmpl w:val="EBCA3B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4F84"/>
    <w:multiLevelType w:val="hybridMultilevel"/>
    <w:tmpl w:val="E5A6C8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72B1"/>
    <w:multiLevelType w:val="hybridMultilevel"/>
    <w:tmpl w:val="ED428EB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215DE4"/>
    <w:multiLevelType w:val="hybridMultilevel"/>
    <w:tmpl w:val="F64A14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2D69"/>
    <w:multiLevelType w:val="hybridMultilevel"/>
    <w:tmpl w:val="9B7EDB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CBF"/>
    <w:multiLevelType w:val="hybridMultilevel"/>
    <w:tmpl w:val="960E2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5101"/>
    <w:multiLevelType w:val="hybridMultilevel"/>
    <w:tmpl w:val="02A4AD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2683"/>
    <w:multiLevelType w:val="hybridMultilevel"/>
    <w:tmpl w:val="FE161F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E05CC"/>
    <w:multiLevelType w:val="hybridMultilevel"/>
    <w:tmpl w:val="5DA637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E5253"/>
    <w:multiLevelType w:val="hybridMultilevel"/>
    <w:tmpl w:val="09126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BF"/>
    <w:rsid w:val="000528B3"/>
    <w:rsid w:val="000A7587"/>
    <w:rsid w:val="000D0E92"/>
    <w:rsid w:val="000D1213"/>
    <w:rsid w:val="000E2284"/>
    <w:rsid w:val="00151B2B"/>
    <w:rsid w:val="001C7F39"/>
    <w:rsid w:val="001E5347"/>
    <w:rsid w:val="002615EF"/>
    <w:rsid w:val="002E38BF"/>
    <w:rsid w:val="0031341F"/>
    <w:rsid w:val="003A158F"/>
    <w:rsid w:val="003B1D9A"/>
    <w:rsid w:val="003D0B64"/>
    <w:rsid w:val="003D0C32"/>
    <w:rsid w:val="00435B2F"/>
    <w:rsid w:val="00436042"/>
    <w:rsid w:val="00484EBC"/>
    <w:rsid w:val="004D3336"/>
    <w:rsid w:val="004E642F"/>
    <w:rsid w:val="00510169"/>
    <w:rsid w:val="00533C77"/>
    <w:rsid w:val="00537401"/>
    <w:rsid w:val="005559C6"/>
    <w:rsid w:val="005578B6"/>
    <w:rsid w:val="005C3090"/>
    <w:rsid w:val="005D566B"/>
    <w:rsid w:val="00622424"/>
    <w:rsid w:val="00685986"/>
    <w:rsid w:val="007072E0"/>
    <w:rsid w:val="00737306"/>
    <w:rsid w:val="00760C56"/>
    <w:rsid w:val="00797B85"/>
    <w:rsid w:val="008259AB"/>
    <w:rsid w:val="00874F57"/>
    <w:rsid w:val="008855D1"/>
    <w:rsid w:val="008F3AF4"/>
    <w:rsid w:val="00925504"/>
    <w:rsid w:val="00A20C73"/>
    <w:rsid w:val="00AE1C43"/>
    <w:rsid w:val="00B40623"/>
    <w:rsid w:val="00B44587"/>
    <w:rsid w:val="00B90EB2"/>
    <w:rsid w:val="00BE74BF"/>
    <w:rsid w:val="00D134FC"/>
    <w:rsid w:val="00D33102"/>
    <w:rsid w:val="00D942C9"/>
    <w:rsid w:val="00D947C3"/>
    <w:rsid w:val="00DC33E0"/>
    <w:rsid w:val="00DD3B61"/>
    <w:rsid w:val="00DE31C6"/>
    <w:rsid w:val="00DE5C53"/>
    <w:rsid w:val="00E215E0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EBFA"/>
  <w15:docId w15:val="{F4F126E1-112A-49DD-AAC9-89D40A6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8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8BF"/>
    <w:pPr>
      <w:ind w:left="720"/>
      <w:contextualSpacing/>
    </w:pPr>
  </w:style>
  <w:style w:type="paragraph" w:customStyle="1" w:styleId="Default">
    <w:name w:val="Default"/>
    <w:rsid w:val="00FF6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3090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3090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3090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309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6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13"/>
  </w:style>
  <w:style w:type="paragraph" w:styleId="BalloonText">
    <w:name w:val="Balloon Text"/>
    <w:basedOn w:val="Normal"/>
    <w:link w:val="BalloonTextChar"/>
    <w:uiPriority w:val="99"/>
    <w:semiHidden/>
    <w:unhideWhenUsed/>
    <w:rsid w:val="00D1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Gleeson</dc:creator>
  <cp:lastModifiedBy>Angela McNamara</cp:lastModifiedBy>
  <cp:revision>2</cp:revision>
  <cp:lastPrinted>2020-08-17T14:35:00Z</cp:lastPrinted>
  <dcterms:created xsi:type="dcterms:W3CDTF">2020-08-26T10:07:00Z</dcterms:created>
  <dcterms:modified xsi:type="dcterms:W3CDTF">2020-08-26T10:07:00Z</dcterms:modified>
</cp:coreProperties>
</file>